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E4BDF6" w14:textId="03F00C7C" w:rsidR="006A233A" w:rsidRPr="00480EA1" w:rsidRDefault="006A233A" w:rsidP="006A233A">
      <w:pPr>
        <w:spacing w:after="0" w:line="360" w:lineRule="auto"/>
        <w:jc w:val="center"/>
        <w:rPr>
          <w:rFonts w:ascii="Times New Roman" w:eastAsia="Times New Roman" w:hAnsi="Times New Roman" w:cs="Times New Roman"/>
          <w:sz w:val="24"/>
          <w:szCs w:val="24"/>
          <w:lang w:val="fr-CA" w:eastAsia="en-CA"/>
        </w:rPr>
      </w:pPr>
      <w:r w:rsidRPr="00ED61C7">
        <w:rPr>
          <w:rFonts w:ascii="Times New Roman" w:eastAsia="Times New Roman" w:hAnsi="Times New Roman" w:cs="Times New Roman"/>
          <w:b/>
          <w:bCs/>
          <w:color w:val="4F81BD"/>
          <w:sz w:val="20"/>
          <w:szCs w:val="20"/>
          <w:lang w:val="fr-CA" w:eastAsia="en-CA"/>
        </w:rPr>
        <w:t>LES DÉFIS DE LA COLLABORATION DANS UN CONTEXTE TURBULENT : LE CAS DE L’UPAC</w:t>
      </w:r>
      <w:r w:rsidRPr="00ED61C7">
        <w:rPr>
          <w:rFonts w:ascii="Times New Roman" w:eastAsia="Times New Roman" w:hAnsi="Times New Roman" w:cs="Times New Roman"/>
          <w:b/>
          <w:bCs/>
          <w:color w:val="4F81BD"/>
          <w:sz w:val="20"/>
          <w:szCs w:val="20"/>
          <w:lang w:val="fr-CA" w:eastAsia="en-CA"/>
        </w:rPr>
        <w:t xml:space="preserve"> </w:t>
      </w:r>
      <w:r w:rsidRPr="00ED61C7">
        <w:rPr>
          <w:rFonts w:ascii="Times New Roman" w:eastAsia="Times New Roman" w:hAnsi="Times New Roman" w:cs="Times New Roman"/>
          <w:b/>
          <w:bCs/>
          <w:color w:val="FF0000"/>
          <w:sz w:val="24"/>
          <w:szCs w:val="24"/>
          <w:u w:val="single"/>
          <w:lang w:val="fr-CA" w:eastAsia="en-CA"/>
        </w:rPr>
        <w:t>(</w:t>
      </w:r>
      <w:r w:rsidR="00ED61C7" w:rsidRPr="00ED61C7">
        <w:rPr>
          <w:rFonts w:ascii="Times New Roman" w:eastAsia="Times New Roman" w:hAnsi="Times New Roman" w:cs="Times New Roman"/>
          <w:b/>
          <w:bCs/>
          <w:color w:val="FF0000"/>
          <w:sz w:val="24"/>
          <w:szCs w:val="24"/>
          <w:u w:val="single"/>
          <w:lang w:val="fr-CA" w:eastAsia="en-CA"/>
        </w:rPr>
        <w:t>VERSION ÉCHANTILLON</w:t>
      </w:r>
      <w:r w:rsidR="00ED61C7">
        <w:rPr>
          <w:rFonts w:ascii="Times New Roman" w:eastAsia="Times New Roman" w:hAnsi="Times New Roman" w:cs="Times New Roman"/>
          <w:b/>
          <w:bCs/>
          <w:color w:val="FF0000"/>
          <w:sz w:val="24"/>
          <w:szCs w:val="24"/>
          <w:u w:val="single"/>
          <w:lang w:val="fr-CA" w:eastAsia="en-CA"/>
        </w:rPr>
        <w:t xml:space="preserve"> – SOUS PRESSES</w:t>
      </w:r>
      <w:r w:rsidR="00ED61C7" w:rsidRPr="00ED61C7">
        <w:rPr>
          <w:rFonts w:ascii="Times New Roman" w:eastAsia="Times New Roman" w:hAnsi="Times New Roman" w:cs="Times New Roman"/>
          <w:b/>
          <w:bCs/>
          <w:color w:val="FF0000"/>
          <w:sz w:val="24"/>
          <w:szCs w:val="24"/>
          <w:u w:val="single"/>
          <w:lang w:val="fr-CA" w:eastAsia="en-CA"/>
        </w:rPr>
        <w:t>)</w:t>
      </w:r>
    </w:p>
    <w:p w14:paraId="4C5876FC" w14:textId="77777777" w:rsidR="006A233A" w:rsidRPr="00480EA1" w:rsidRDefault="006A233A" w:rsidP="006A233A">
      <w:pPr>
        <w:spacing w:after="0" w:line="360" w:lineRule="auto"/>
        <w:jc w:val="center"/>
        <w:rPr>
          <w:rFonts w:ascii="Times New Roman" w:eastAsia="Times New Roman" w:hAnsi="Times New Roman" w:cs="Times New Roman"/>
          <w:sz w:val="24"/>
          <w:szCs w:val="24"/>
          <w:lang w:val="fr-CA" w:eastAsia="en-CA"/>
        </w:rPr>
      </w:pPr>
      <w:r w:rsidRPr="00480EA1">
        <w:rPr>
          <w:rFonts w:ascii="Times New Roman" w:eastAsia="Times New Roman" w:hAnsi="Times New Roman" w:cs="Times New Roman"/>
          <w:b/>
          <w:bCs/>
          <w:color w:val="4F81BD"/>
          <w:sz w:val="24"/>
          <w:szCs w:val="24"/>
          <w:lang w:val="fr-CA" w:eastAsia="en-CA"/>
        </w:rPr>
        <w:t xml:space="preserve">César </w:t>
      </w:r>
      <w:proofErr w:type="spellStart"/>
      <w:r w:rsidRPr="00480EA1">
        <w:rPr>
          <w:rFonts w:ascii="Times New Roman" w:eastAsia="Times New Roman" w:hAnsi="Times New Roman" w:cs="Times New Roman"/>
          <w:b/>
          <w:bCs/>
          <w:color w:val="4F81BD"/>
          <w:sz w:val="24"/>
          <w:szCs w:val="24"/>
          <w:lang w:val="fr-CA" w:eastAsia="en-CA"/>
        </w:rPr>
        <w:t>Garzón</w:t>
      </w:r>
      <w:proofErr w:type="spellEnd"/>
      <w:r w:rsidRPr="00480EA1">
        <w:rPr>
          <w:rFonts w:ascii="Times New Roman" w:eastAsia="Times New Roman" w:hAnsi="Times New Roman" w:cs="Times New Roman"/>
          <w:b/>
          <w:bCs/>
          <w:color w:val="4F81BD"/>
          <w:sz w:val="24"/>
          <w:szCs w:val="24"/>
          <w:lang w:val="fr-CA" w:eastAsia="en-CA"/>
        </w:rPr>
        <w:t xml:space="preserve"> et Nicholas Bautista-Beauchesne</w:t>
      </w:r>
    </w:p>
    <w:p w14:paraId="78D97BAF" w14:textId="77777777" w:rsidR="006A233A" w:rsidRPr="00480EA1" w:rsidRDefault="006A233A" w:rsidP="006A233A">
      <w:pPr>
        <w:spacing w:after="0" w:line="360" w:lineRule="auto"/>
        <w:rPr>
          <w:rFonts w:ascii="Times New Roman" w:eastAsia="Times New Roman" w:hAnsi="Times New Roman" w:cs="Times New Roman"/>
          <w:sz w:val="24"/>
          <w:szCs w:val="24"/>
          <w:lang w:val="fr-CA" w:eastAsia="en-CA"/>
        </w:rPr>
      </w:pPr>
    </w:p>
    <w:p w14:paraId="2F0986F2" w14:textId="6C421217" w:rsidR="006A233A" w:rsidRDefault="006A233A" w:rsidP="006A233A">
      <w:pPr>
        <w:spacing w:after="120" w:line="240" w:lineRule="auto"/>
        <w:rPr>
          <w:rFonts w:ascii="Times New Roman" w:eastAsia="Times New Roman" w:hAnsi="Times New Roman" w:cs="Times New Roman"/>
          <w:b/>
          <w:color w:val="4472C4" w:themeColor="accent1"/>
          <w:sz w:val="24"/>
          <w:szCs w:val="24"/>
          <w:lang w:val="fr-CA" w:eastAsia="en-CA"/>
        </w:rPr>
      </w:pPr>
      <w:r>
        <w:rPr>
          <w:rFonts w:ascii="Times New Roman" w:eastAsia="Times New Roman" w:hAnsi="Times New Roman" w:cs="Times New Roman"/>
          <w:b/>
          <w:color w:val="4472C4" w:themeColor="accent1"/>
          <w:sz w:val="24"/>
          <w:szCs w:val="24"/>
          <w:lang w:val="fr-CA" w:eastAsia="en-CA"/>
        </w:rPr>
        <w:t>Table des matières </w:t>
      </w:r>
    </w:p>
    <w:p w14:paraId="1B8AC59D" w14:textId="5960FC20" w:rsidR="006A233A" w:rsidRDefault="006A233A" w:rsidP="006A233A">
      <w:pPr>
        <w:pStyle w:val="ListParagraph"/>
        <w:numPr>
          <w:ilvl w:val="0"/>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color w:val="4472C4" w:themeColor="accent1"/>
          <w:sz w:val="24"/>
          <w:szCs w:val="24"/>
          <w:lang w:val="fr-CA" w:eastAsia="en-CA"/>
        </w:rPr>
        <w:t xml:space="preserve">Introduction : </w:t>
      </w:r>
      <w:r w:rsidRPr="006A233A">
        <w:rPr>
          <w:rFonts w:ascii="Times New Roman" w:eastAsia="Times New Roman" w:hAnsi="Times New Roman" w:cs="Times New Roman"/>
          <w:b/>
          <w:bCs/>
          <w:color w:val="4F81BD"/>
          <w:sz w:val="24"/>
          <w:szCs w:val="24"/>
          <w:lang w:val="fr-CA" w:eastAsia="en-CA"/>
        </w:rPr>
        <w:t xml:space="preserve">Un tournant anticorruption </w:t>
      </w:r>
    </w:p>
    <w:p w14:paraId="78B53A01" w14:textId="2AE28DA0" w:rsid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bCs/>
          <w:color w:val="4F81BD"/>
          <w:sz w:val="24"/>
          <w:szCs w:val="24"/>
          <w:lang w:val="fr-CA" w:eastAsia="en-CA"/>
        </w:rPr>
        <w:t>La collaboration anticorruption</w:t>
      </w:r>
    </w:p>
    <w:p w14:paraId="505FFF1A" w14:textId="5C1AA216" w:rsidR="006A233A" w:rsidRP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3D7B2B">
        <w:rPr>
          <w:rFonts w:ascii="Times New Roman" w:eastAsia="Times New Roman" w:hAnsi="Times New Roman" w:cs="Times New Roman"/>
          <w:b/>
          <w:bCs/>
          <w:color w:val="4472C4" w:themeColor="accent1"/>
          <w:sz w:val="24"/>
          <w:szCs w:val="24"/>
          <w:lang w:val="fr-CA" w:eastAsia="en-CA"/>
        </w:rPr>
        <w:t>Une étude de cas historique</w:t>
      </w:r>
    </w:p>
    <w:p w14:paraId="04C8FFFC" w14:textId="51BD8D54" w:rsidR="006A233A" w:rsidRDefault="006A233A" w:rsidP="006A233A">
      <w:pPr>
        <w:pStyle w:val="ListParagraph"/>
        <w:numPr>
          <w:ilvl w:val="0"/>
          <w:numId w:val="1"/>
        </w:numPr>
        <w:spacing w:after="120" w:line="240" w:lineRule="auto"/>
        <w:rPr>
          <w:rFonts w:ascii="Times New Roman" w:eastAsia="Times New Roman" w:hAnsi="Times New Roman" w:cs="Times New Roman"/>
          <w:b/>
          <w:bCs/>
          <w:color w:val="4F81BD"/>
          <w:sz w:val="24"/>
          <w:szCs w:val="24"/>
          <w:lang w:val="fr-CA" w:eastAsia="en-CA"/>
        </w:rPr>
      </w:pPr>
      <w:r w:rsidRPr="007E51DD">
        <w:rPr>
          <w:rFonts w:ascii="Times New Roman" w:eastAsia="Times New Roman" w:hAnsi="Times New Roman" w:cs="Times New Roman"/>
          <w:b/>
          <w:bCs/>
          <w:color w:val="4F81BD"/>
          <w:sz w:val="24"/>
          <w:szCs w:val="24"/>
          <w:lang w:val="fr-CA" w:eastAsia="en-CA"/>
        </w:rPr>
        <w:t>L’Unité permanente anticorruption (UPAC)</w:t>
      </w:r>
    </w:p>
    <w:p w14:paraId="6FE3BF02" w14:textId="72CC54D7" w:rsid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bCs/>
          <w:color w:val="4F81BD"/>
          <w:sz w:val="24"/>
          <w:szCs w:val="24"/>
          <w:lang w:val="fr-CA" w:eastAsia="en-CA"/>
        </w:rPr>
        <w:t>Des réseaux de collaboration multiniveaux et multisectoriels</w:t>
      </w:r>
    </w:p>
    <w:p w14:paraId="23DFBF02" w14:textId="7A0B6DAD" w:rsid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7E51DD">
        <w:rPr>
          <w:rFonts w:ascii="Times New Roman" w:eastAsia="Times New Roman" w:hAnsi="Times New Roman" w:cs="Times New Roman"/>
          <w:b/>
          <w:bCs/>
          <w:color w:val="4F81BD"/>
          <w:sz w:val="24"/>
          <w:szCs w:val="24"/>
          <w:lang w:val="fr-CA" w:eastAsia="en-CA"/>
        </w:rPr>
        <w:t xml:space="preserve">Une organisation </w:t>
      </w:r>
      <w:r w:rsidRPr="003D7B2B">
        <w:rPr>
          <w:rFonts w:ascii="Times New Roman" w:eastAsia="Times New Roman" w:hAnsi="Times New Roman" w:cs="Times New Roman"/>
          <w:b/>
          <w:bCs/>
          <w:color w:val="4F81BD"/>
          <w:sz w:val="24"/>
          <w:szCs w:val="24"/>
          <w:lang w:val="fr-CA" w:eastAsia="en-CA"/>
        </w:rPr>
        <w:t>innovatrice</w:t>
      </w:r>
    </w:p>
    <w:p w14:paraId="237B8E25" w14:textId="2E32F225" w:rsidR="006A233A" w:rsidRP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7E51DD">
        <w:rPr>
          <w:rFonts w:ascii="Times New Roman" w:eastAsia="Times New Roman" w:hAnsi="Times New Roman" w:cs="Times New Roman"/>
          <w:b/>
          <w:color w:val="4F81BD"/>
          <w:sz w:val="24"/>
          <w:szCs w:val="24"/>
          <w:lang w:val="fr-CA" w:eastAsia="en-CA"/>
        </w:rPr>
        <w:t>Un premier bilan</w:t>
      </w:r>
    </w:p>
    <w:p w14:paraId="738041A4" w14:textId="7C7ED103" w:rsidR="006A233A" w:rsidRP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7E51DD">
        <w:rPr>
          <w:rFonts w:ascii="Times New Roman" w:eastAsia="Times New Roman" w:hAnsi="Times New Roman" w:cs="Times New Roman"/>
          <w:b/>
          <w:color w:val="4F81BD"/>
          <w:sz w:val="24"/>
          <w:szCs w:val="24"/>
          <w:lang w:val="fr-CA" w:eastAsia="en-CA"/>
        </w:rPr>
        <w:t>Une structuration des dynamiques collaboratives efficace, mais inachevée</w:t>
      </w:r>
    </w:p>
    <w:p w14:paraId="28255129" w14:textId="44869232" w:rsidR="006A233A" w:rsidRDefault="006A233A" w:rsidP="006A233A">
      <w:pPr>
        <w:pStyle w:val="ListParagraph"/>
        <w:numPr>
          <w:ilvl w:val="0"/>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bCs/>
          <w:color w:val="4F81BD"/>
          <w:sz w:val="24"/>
          <w:szCs w:val="24"/>
          <w:lang w:val="fr-CA" w:eastAsia="en-CA"/>
        </w:rPr>
        <w:t>Bâtir la collaboration sur de nouvelles bases</w:t>
      </w:r>
    </w:p>
    <w:p w14:paraId="79A36CCA" w14:textId="3234159B" w:rsid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bCs/>
          <w:color w:val="4F81BD"/>
          <w:sz w:val="24"/>
          <w:szCs w:val="24"/>
          <w:lang w:val="fr-CA" w:eastAsia="en-CA"/>
        </w:rPr>
        <w:t>L’expertise et la gouvernance des ententes de collaboration</w:t>
      </w:r>
    </w:p>
    <w:p w14:paraId="132DAA23" w14:textId="25EBD17B" w:rsid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3D7B2B">
        <w:rPr>
          <w:rFonts w:ascii="Times New Roman" w:eastAsia="Times New Roman" w:hAnsi="Times New Roman" w:cs="Times New Roman"/>
          <w:b/>
          <w:bCs/>
          <w:color w:val="4F81BD"/>
          <w:sz w:val="24"/>
          <w:szCs w:val="24"/>
          <w:lang w:val="fr-CA" w:eastAsia="en-CA"/>
        </w:rPr>
        <w:t xml:space="preserve">La légitimité </w:t>
      </w:r>
      <w:r>
        <w:rPr>
          <w:rFonts w:ascii="Times New Roman" w:eastAsia="Times New Roman" w:hAnsi="Times New Roman" w:cs="Times New Roman"/>
          <w:b/>
          <w:bCs/>
          <w:color w:val="4F81BD"/>
          <w:sz w:val="24"/>
          <w:szCs w:val="24"/>
          <w:lang w:val="fr-CA" w:eastAsia="en-CA"/>
        </w:rPr>
        <w:t>institutionnelle</w:t>
      </w:r>
    </w:p>
    <w:p w14:paraId="62D025F0" w14:textId="32E9EE59" w:rsidR="006A233A" w:rsidRPr="006A233A" w:rsidRDefault="006A233A" w:rsidP="006A233A">
      <w:pPr>
        <w:pStyle w:val="ListParagraph"/>
        <w:numPr>
          <w:ilvl w:val="1"/>
          <w:numId w:val="1"/>
        </w:numPr>
        <w:spacing w:after="120" w:line="240" w:lineRule="auto"/>
        <w:rPr>
          <w:rFonts w:ascii="Times New Roman" w:eastAsia="Times New Roman" w:hAnsi="Times New Roman" w:cs="Times New Roman"/>
          <w:b/>
          <w:bCs/>
          <w:color w:val="4F81BD"/>
          <w:sz w:val="24"/>
          <w:szCs w:val="24"/>
          <w:lang w:val="fr-CA" w:eastAsia="en-CA"/>
        </w:rPr>
      </w:pPr>
      <w:r w:rsidRPr="006E7E02">
        <w:rPr>
          <w:rFonts w:ascii="Times New Roman" w:eastAsia="Times New Roman" w:hAnsi="Times New Roman" w:cs="Times New Roman"/>
          <w:b/>
          <w:color w:val="4F81BD"/>
          <w:sz w:val="24"/>
          <w:szCs w:val="24"/>
          <w:lang w:val="fr-CA" w:eastAsia="en-CA"/>
        </w:rPr>
        <w:t>La vision stratégique</w:t>
      </w:r>
    </w:p>
    <w:p w14:paraId="29B20ED8" w14:textId="40D5F113" w:rsidR="006A233A" w:rsidRDefault="006A233A" w:rsidP="006A233A">
      <w:pPr>
        <w:pStyle w:val="ListParagraph"/>
        <w:numPr>
          <w:ilvl w:val="0"/>
          <w:numId w:val="1"/>
        </w:numPr>
        <w:spacing w:after="120" w:line="240" w:lineRule="auto"/>
        <w:rPr>
          <w:rFonts w:ascii="Times New Roman" w:eastAsia="Times New Roman" w:hAnsi="Times New Roman" w:cs="Times New Roman"/>
          <w:b/>
          <w:bCs/>
          <w:color w:val="4F81BD"/>
          <w:sz w:val="24"/>
          <w:szCs w:val="24"/>
          <w:lang w:val="fr-CA" w:eastAsia="en-CA"/>
        </w:rPr>
      </w:pPr>
      <w:r w:rsidRPr="006A233A">
        <w:rPr>
          <w:rFonts w:ascii="Times New Roman" w:eastAsia="Times New Roman" w:hAnsi="Times New Roman" w:cs="Times New Roman"/>
          <w:b/>
          <w:bCs/>
          <w:color w:val="4F81BD"/>
          <w:sz w:val="24"/>
          <w:szCs w:val="24"/>
          <w:lang w:val="fr-CA" w:eastAsia="en-CA"/>
        </w:rPr>
        <w:t>Conclusion : Amorcer une nouvelle période</w:t>
      </w:r>
    </w:p>
    <w:p w14:paraId="6A8E2A76" w14:textId="77777777" w:rsidR="006A233A" w:rsidRPr="006A233A" w:rsidRDefault="006A233A" w:rsidP="006A233A">
      <w:pPr>
        <w:spacing w:after="120" w:line="240" w:lineRule="auto"/>
        <w:rPr>
          <w:rFonts w:ascii="Times New Roman" w:eastAsia="Times New Roman" w:hAnsi="Times New Roman" w:cs="Times New Roman"/>
          <w:b/>
          <w:bCs/>
          <w:color w:val="4F81BD"/>
          <w:sz w:val="24"/>
          <w:szCs w:val="24"/>
          <w:lang w:val="fr-CA" w:eastAsia="en-CA"/>
        </w:rPr>
      </w:pPr>
    </w:p>
    <w:p w14:paraId="4A6AD61E" w14:textId="3A354C04" w:rsidR="006A233A" w:rsidRPr="00D51B9A" w:rsidRDefault="006A233A" w:rsidP="006A233A">
      <w:pPr>
        <w:spacing w:after="0" w:line="360" w:lineRule="auto"/>
        <w:ind w:left="360" w:hanging="360"/>
        <w:rPr>
          <w:rFonts w:ascii="Times New Roman" w:eastAsia="Times New Roman" w:hAnsi="Times New Roman" w:cs="Times New Roman"/>
          <w:b/>
          <w:bCs/>
          <w:color w:val="4F81BD"/>
          <w:sz w:val="24"/>
          <w:szCs w:val="24"/>
          <w:lang w:val="fr-CA" w:eastAsia="en-CA"/>
        </w:rPr>
      </w:pPr>
      <w:r>
        <w:rPr>
          <w:rFonts w:ascii="Times New Roman" w:eastAsia="Times New Roman" w:hAnsi="Times New Roman" w:cs="Times New Roman"/>
          <w:b/>
          <w:color w:val="4472C4" w:themeColor="accent1"/>
          <w:sz w:val="24"/>
          <w:szCs w:val="24"/>
          <w:lang w:val="fr-CA" w:eastAsia="en-CA"/>
        </w:rPr>
        <w:t xml:space="preserve">Introduction : </w:t>
      </w:r>
      <w:r w:rsidRPr="0077335B">
        <w:rPr>
          <w:rFonts w:ascii="Times New Roman" w:eastAsia="Times New Roman" w:hAnsi="Times New Roman" w:cs="Times New Roman"/>
          <w:b/>
          <w:bCs/>
          <w:color w:val="4F81BD"/>
          <w:sz w:val="24"/>
          <w:szCs w:val="24"/>
          <w:lang w:val="fr-CA" w:eastAsia="en-CA"/>
        </w:rPr>
        <w:t xml:space="preserve">Un tournant anticorruption </w:t>
      </w:r>
    </w:p>
    <w:p w14:paraId="7FA52C50" w14:textId="77777777" w:rsidR="006A233A" w:rsidRPr="00480EA1" w:rsidRDefault="006A233A" w:rsidP="006A233A">
      <w:pPr>
        <w:spacing w:after="0" w:line="360" w:lineRule="auto"/>
        <w:jc w:val="both"/>
        <w:rPr>
          <w:rFonts w:ascii="Times New Roman" w:eastAsia="Times New Roman" w:hAnsi="Times New Roman" w:cs="Times New Roman"/>
          <w:sz w:val="24"/>
          <w:szCs w:val="24"/>
          <w:lang w:val="fr-CA" w:eastAsia="en-CA"/>
        </w:rPr>
      </w:pPr>
      <w:r w:rsidRPr="00480EA1">
        <w:rPr>
          <w:rFonts w:ascii="Times New Roman" w:eastAsia="Times New Roman" w:hAnsi="Times New Roman" w:cs="Times New Roman"/>
          <w:color w:val="000000"/>
          <w:sz w:val="24"/>
          <w:szCs w:val="24"/>
          <w:lang w:val="fr-CA" w:eastAsia="en-CA"/>
        </w:rPr>
        <w:t xml:space="preserve">La dernière décennie s’est révélée cruciale pour contrer la corruption au Québec. La Commission d’enquête sur l’octroi et la gestion des contrats publics dans l’industrie de la construction (CEIC) – communément appelée la « Commission Charbonneau » – a permis d’étaler au grand jour des systèmes de collusion et de corruption ayant capturé le processus d’approvisionnement des contrats de construction (CEIC, 2015; Hudon et </w:t>
      </w:r>
      <w:proofErr w:type="spellStart"/>
      <w:r w:rsidRPr="00480EA1">
        <w:rPr>
          <w:rFonts w:ascii="Times New Roman" w:eastAsia="Times New Roman" w:hAnsi="Times New Roman" w:cs="Times New Roman"/>
          <w:color w:val="000000"/>
          <w:sz w:val="24"/>
          <w:szCs w:val="24"/>
          <w:lang w:val="fr-CA" w:eastAsia="en-CA"/>
        </w:rPr>
        <w:t>Garzón</w:t>
      </w:r>
      <w:proofErr w:type="spellEnd"/>
      <w:r w:rsidRPr="00480EA1">
        <w:rPr>
          <w:rFonts w:ascii="Times New Roman" w:eastAsia="Times New Roman" w:hAnsi="Times New Roman" w:cs="Times New Roman"/>
          <w:color w:val="000000"/>
          <w:sz w:val="24"/>
          <w:szCs w:val="24"/>
          <w:lang w:val="fr-CA" w:eastAsia="en-CA"/>
        </w:rPr>
        <w:t xml:space="preserve">, 2016). En réponse à la crise, les gouvernements provinciaux et municipaux ont entrepris un « virage régulatoire » caractérisé par la mise en œuvre d’une pléthore de lois, règlements, agences et organisations indépendantes (Reeves-Latour et </w:t>
      </w:r>
      <w:proofErr w:type="spellStart"/>
      <w:r w:rsidRPr="00480EA1">
        <w:rPr>
          <w:rFonts w:ascii="Times New Roman" w:eastAsia="Times New Roman" w:hAnsi="Times New Roman" w:cs="Times New Roman"/>
          <w:color w:val="000000"/>
          <w:sz w:val="24"/>
          <w:szCs w:val="24"/>
          <w:lang w:val="fr-CA" w:eastAsia="en-CA"/>
        </w:rPr>
        <w:t>Morselli</w:t>
      </w:r>
      <w:proofErr w:type="spellEnd"/>
      <w:r w:rsidRPr="00480EA1">
        <w:rPr>
          <w:rFonts w:ascii="Times New Roman" w:eastAsia="Times New Roman" w:hAnsi="Times New Roman" w:cs="Times New Roman"/>
          <w:color w:val="000000"/>
          <w:sz w:val="24"/>
          <w:szCs w:val="24"/>
          <w:lang w:val="fr-CA" w:eastAsia="en-CA"/>
        </w:rPr>
        <w:t>, 2018). Le fer de lance de ces nouvelles institutions, l’Unité permanente anticorruption (</w:t>
      </w:r>
      <w:bookmarkStart w:id="0" w:name="OLE_LINK1"/>
      <w:r w:rsidRPr="00480EA1">
        <w:rPr>
          <w:rFonts w:ascii="Times New Roman" w:eastAsia="Times New Roman" w:hAnsi="Times New Roman" w:cs="Times New Roman"/>
          <w:color w:val="000000"/>
          <w:sz w:val="24"/>
          <w:szCs w:val="24"/>
          <w:lang w:val="fr-CA" w:eastAsia="en-CA"/>
        </w:rPr>
        <w:t>UPAC</w:t>
      </w:r>
      <w:bookmarkEnd w:id="0"/>
      <w:r w:rsidRPr="00480EA1">
        <w:rPr>
          <w:rFonts w:ascii="Times New Roman" w:eastAsia="Times New Roman" w:hAnsi="Times New Roman" w:cs="Times New Roman"/>
          <w:color w:val="000000"/>
          <w:sz w:val="24"/>
          <w:szCs w:val="24"/>
          <w:lang w:val="fr-CA" w:eastAsia="en-CA"/>
        </w:rPr>
        <w:t xml:space="preserve">), est responsable de la mise en œuvre de la </w:t>
      </w:r>
      <w:r w:rsidRPr="00480EA1">
        <w:rPr>
          <w:rFonts w:ascii="Times New Roman" w:eastAsia="Times New Roman" w:hAnsi="Times New Roman" w:cs="Times New Roman"/>
          <w:i/>
          <w:color w:val="000000"/>
          <w:sz w:val="24"/>
          <w:szCs w:val="24"/>
          <w:lang w:val="fr-CA" w:eastAsia="en-CA"/>
        </w:rPr>
        <w:t>Loi concernant la lutte contre la corruption</w:t>
      </w:r>
      <w:r w:rsidRPr="00480EA1">
        <w:rPr>
          <w:rFonts w:ascii="Times New Roman" w:eastAsia="Times New Roman" w:hAnsi="Times New Roman" w:cs="Times New Roman"/>
          <w:color w:val="000000"/>
          <w:sz w:val="24"/>
          <w:szCs w:val="24"/>
          <w:lang w:val="fr-CA" w:eastAsia="en-CA"/>
        </w:rPr>
        <w:t xml:space="preserve"> (Québec, 2011). Sous sa direction, le Commissaire à la lutte contre la corruption, ci-après le « Commissaire</w:t>
      </w:r>
      <w:r>
        <w:rPr>
          <w:rFonts w:ascii="Times New Roman" w:eastAsia="Times New Roman" w:hAnsi="Times New Roman" w:cs="Times New Roman"/>
          <w:color w:val="000000"/>
          <w:sz w:val="24"/>
          <w:szCs w:val="24"/>
          <w:lang w:val="fr-CA" w:eastAsia="en-CA"/>
        </w:rPr>
        <w:t> </w:t>
      </w:r>
      <w:r w:rsidRPr="00480EA1">
        <w:rPr>
          <w:rFonts w:ascii="Times New Roman" w:eastAsia="Times New Roman" w:hAnsi="Times New Roman" w:cs="Times New Roman"/>
          <w:color w:val="000000"/>
          <w:sz w:val="24"/>
          <w:szCs w:val="24"/>
          <w:lang w:val="fr-CA" w:eastAsia="en-CA"/>
        </w:rPr>
        <w:t xml:space="preserve">», coordonne des équipes qui étaient auparavant dispersées au sein de plusieurs </w:t>
      </w:r>
      <w:r>
        <w:rPr>
          <w:rFonts w:ascii="Times New Roman" w:eastAsia="Times New Roman" w:hAnsi="Times New Roman" w:cs="Times New Roman"/>
          <w:color w:val="000000"/>
          <w:sz w:val="24"/>
          <w:szCs w:val="24"/>
          <w:lang w:val="fr-CA" w:eastAsia="en-CA"/>
        </w:rPr>
        <w:t>organismes</w:t>
      </w:r>
      <w:r w:rsidRPr="00480EA1">
        <w:rPr>
          <w:rFonts w:ascii="Times New Roman" w:eastAsia="Times New Roman" w:hAnsi="Times New Roman" w:cs="Times New Roman"/>
          <w:color w:val="000000"/>
          <w:sz w:val="24"/>
          <w:szCs w:val="24"/>
          <w:lang w:val="fr-CA" w:eastAsia="en-CA"/>
        </w:rPr>
        <w:t xml:space="preserve"> gouvernementaux, notamment au sein de Revenu Québec, de services policiers municipaux et provinciaux, et d’agences de surveillance de différents secteurs comme la construction ou le logement.</w:t>
      </w:r>
    </w:p>
    <w:p w14:paraId="7EA1FD15" w14:textId="77777777" w:rsidR="006A233A" w:rsidRPr="00480EA1" w:rsidRDefault="006A233A" w:rsidP="006A233A">
      <w:pPr>
        <w:spacing w:after="0" w:line="360" w:lineRule="auto"/>
        <w:rPr>
          <w:rFonts w:ascii="Times New Roman" w:eastAsia="Times New Roman" w:hAnsi="Times New Roman" w:cs="Times New Roman"/>
          <w:sz w:val="24"/>
          <w:szCs w:val="24"/>
          <w:lang w:val="fr-CA" w:eastAsia="en-CA"/>
        </w:rPr>
      </w:pPr>
    </w:p>
    <w:p w14:paraId="277710EE" w14:textId="77777777" w:rsidR="006A233A" w:rsidRDefault="006A233A" w:rsidP="006A233A">
      <w:pPr>
        <w:spacing w:after="0" w:line="360" w:lineRule="auto"/>
        <w:jc w:val="both"/>
        <w:rPr>
          <w:rFonts w:ascii="Times New Roman" w:eastAsia="Times New Roman" w:hAnsi="Times New Roman" w:cs="Times New Roman"/>
          <w:color w:val="000000"/>
          <w:lang w:val="fr-CA" w:eastAsia="en-CA"/>
        </w:rPr>
      </w:pPr>
      <w:r w:rsidRPr="00480EA1">
        <w:rPr>
          <w:rFonts w:ascii="Times New Roman" w:eastAsia="Times New Roman" w:hAnsi="Times New Roman" w:cs="Times New Roman"/>
          <w:color w:val="000000"/>
          <w:sz w:val="24"/>
          <w:szCs w:val="24"/>
          <w:lang w:val="fr-CA" w:eastAsia="en-CA"/>
        </w:rPr>
        <w:lastRenderedPageBreak/>
        <w:t>De prime abord, le « modèle anticorruption québécois</w:t>
      </w:r>
      <w:r>
        <w:rPr>
          <w:rFonts w:ascii="Times New Roman" w:eastAsia="Times New Roman" w:hAnsi="Times New Roman" w:cs="Times New Roman"/>
          <w:color w:val="000000"/>
          <w:sz w:val="24"/>
          <w:szCs w:val="24"/>
          <w:lang w:val="fr-CA" w:eastAsia="en-CA"/>
        </w:rPr>
        <w:t> </w:t>
      </w:r>
      <w:r w:rsidRPr="00480EA1">
        <w:rPr>
          <w:rFonts w:ascii="Times New Roman" w:eastAsia="Times New Roman" w:hAnsi="Times New Roman" w:cs="Times New Roman"/>
          <w:color w:val="000000"/>
          <w:sz w:val="24"/>
          <w:szCs w:val="24"/>
          <w:lang w:val="fr-CA" w:eastAsia="en-CA"/>
        </w:rPr>
        <w:t>» est intrinsèquement fondé sur l</w:t>
      </w:r>
      <w:r>
        <w:rPr>
          <w:rFonts w:ascii="Times New Roman" w:eastAsia="Times New Roman" w:hAnsi="Times New Roman" w:cs="Times New Roman"/>
          <w:color w:val="000000"/>
          <w:sz w:val="24"/>
          <w:szCs w:val="24"/>
          <w:lang w:val="fr-CA" w:eastAsia="en-CA"/>
        </w:rPr>
        <w:t>es</w:t>
      </w:r>
      <w:r w:rsidRPr="00480EA1">
        <w:rPr>
          <w:rFonts w:ascii="Times New Roman" w:eastAsia="Times New Roman" w:hAnsi="Times New Roman" w:cs="Times New Roman"/>
          <w:color w:val="000000"/>
          <w:sz w:val="24"/>
          <w:szCs w:val="24"/>
          <w:lang w:val="fr-CA" w:eastAsia="en-CA"/>
        </w:rPr>
        <w:t xml:space="preserve"> collaboration</w:t>
      </w:r>
      <w:r>
        <w:rPr>
          <w:rFonts w:ascii="Times New Roman" w:eastAsia="Times New Roman" w:hAnsi="Times New Roman" w:cs="Times New Roman"/>
          <w:color w:val="000000"/>
          <w:sz w:val="24"/>
          <w:szCs w:val="24"/>
          <w:lang w:val="fr-CA" w:eastAsia="en-CA"/>
        </w:rPr>
        <w:t>s</w:t>
      </w:r>
      <w:r w:rsidRPr="00480EA1">
        <w:rPr>
          <w:rFonts w:ascii="Times New Roman" w:eastAsia="Times New Roman" w:hAnsi="Times New Roman" w:cs="Times New Roman"/>
          <w:color w:val="000000"/>
          <w:sz w:val="24"/>
          <w:szCs w:val="24"/>
          <w:lang w:val="fr-CA" w:eastAsia="en-CA"/>
        </w:rPr>
        <w:t xml:space="preserve"> </w:t>
      </w:r>
      <w:proofErr w:type="spellStart"/>
      <w:r w:rsidRPr="00480EA1">
        <w:rPr>
          <w:rFonts w:ascii="Times New Roman" w:eastAsia="Times New Roman" w:hAnsi="Times New Roman" w:cs="Times New Roman"/>
          <w:color w:val="000000"/>
          <w:sz w:val="24"/>
          <w:szCs w:val="24"/>
          <w:lang w:val="fr-CA" w:eastAsia="en-CA"/>
        </w:rPr>
        <w:t>multiorganisationnell</w:t>
      </w:r>
      <w:r>
        <w:rPr>
          <w:rFonts w:ascii="Times New Roman" w:eastAsia="Times New Roman" w:hAnsi="Times New Roman" w:cs="Times New Roman"/>
          <w:color w:val="000000"/>
          <w:sz w:val="24"/>
          <w:szCs w:val="24"/>
          <w:lang w:val="fr-CA" w:eastAsia="en-CA"/>
        </w:rPr>
        <w:t>es</w:t>
      </w:r>
      <w:proofErr w:type="spellEnd"/>
      <w:r>
        <w:rPr>
          <w:rFonts w:ascii="Times New Roman" w:eastAsia="Times New Roman" w:hAnsi="Times New Roman" w:cs="Times New Roman"/>
          <w:color w:val="000000"/>
          <w:sz w:val="24"/>
          <w:szCs w:val="24"/>
          <w:lang w:val="fr-CA" w:eastAsia="en-CA"/>
        </w:rPr>
        <w:t xml:space="preserve"> </w:t>
      </w:r>
      <w:r w:rsidRPr="00480EA1">
        <w:rPr>
          <w:rFonts w:ascii="Times New Roman" w:eastAsia="Times New Roman" w:hAnsi="Times New Roman" w:cs="Times New Roman"/>
          <w:color w:val="000000"/>
          <w:sz w:val="24"/>
          <w:szCs w:val="24"/>
          <w:lang w:val="fr-CA" w:eastAsia="en-CA"/>
        </w:rPr>
        <w:t>et multiniveau</w:t>
      </w:r>
      <w:r>
        <w:rPr>
          <w:rFonts w:ascii="Times New Roman" w:eastAsia="Times New Roman" w:hAnsi="Times New Roman" w:cs="Times New Roman"/>
          <w:color w:val="000000"/>
          <w:sz w:val="24"/>
          <w:szCs w:val="24"/>
          <w:lang w:val="fr-FR" w:eastAsia="en-CA"/>
        </w:rPr>
        <w:t>x</w:t>
      </w:r>
      <w:r w:rsidRPr="00480EA1">
        <w:rPr>
          <w:rFonts w:ascii="Times New Roman" w:eastAsia="Times New Roman" w:hAnsi="Times New Roman" w:cs="Times New Roman"/>
          <w:color w:val="000000"/>
          <w:sz w:val="24"/>
          <w:szCs w:val="24"/>
          <w:lang w:val="fr-CA" w:eastAsia="en-CA"/>
        </w:rPr>
        <w:t>. Avant tout, l’UPAC fonctionne quotidiennement grâce à la collaboration interne de ses unités constituantes. Les employés de l’UPAC, tant civils que policiers, sont chargés de prévenir, détecter et réprimer la corruption sur l’ensemble de la province. Par exemple, l’agence présente des séances de sensibilisation et d’éducation auprès de fonctionnaires, surveille des chantiers de construction, participe à la vérification de l’intégrité d</w:t>
      </w:r>
      <w:r>
        <w:rPr>
          <w:rFonts w:ascii="Times New Roman" w:eastAsia="Times New Roman" w:hAnsi="Times New Roman" w:cs="Times New Roman"/>
          <w:color w:val="000000"/>
          <w:sz w:val="24"/>
          <w:szCs w:val="24"/>
          <w:lang w:val="fr-CA" w:eastAsia="en-CA"/>
        </w:rPr>
        <w:t xml:space="preserve">es </w:t>
      </w:r>
      <w:r w:rsidRPr="00480EA1">
        <w:rPr>
          <w:rFonts w:ascii="Times New Roman" w:eastAsia="Times New Roman" w:hAnsi="Times New Roman" w:cs="Times New Roman"/>
          <w:color w:val="000000"/>
          <w:sz w:val="24"/>
          <w:szCs w:val="24"/>
          <w:lang w:val="fr-CA" w:eastAsia="en-CA"/>
        </w:rPr>
        <w:t xml:space="preserve">entrepreneurs et effectue des enquêtes </w:t>
      </w:r>
      <w:r>
        <w:rPr>
          <w:rFonts w:ascii="Times New Roman" w:eastAsia="Times New Roman" w:hAnsi="Times New Roman" w:cs="Times New Roman"/>
          <w:color w:val="000000"/>
          <w:sz w:val="24"/>
          <w:szCs w:val="24"/>
          <w:lang w:val="fr-CA" w:eastAsia="en-CA"/>
        </w:rPr>
        <w:t xml:space="preserve">en matière </w:t>
      </w:r>
      <w:r w:rsidRPr="00480EA1">
        <w:rPr>
          <w:rFonts w:ascii="Times New Roman" w:eastAsia="Times New Roman" w:hAnsi="Times New Roman" w:cs="Times New Roman"/>
          <w:color w:val="000000"/>
          <w:sz w:val="24"/>
          <w:szCs w:val="24"/>
          <w:lang w:val="fr-CA" w:eastAsia="en-CA"/>
        </w:rPr>
        <w:t>pénal</w:t>
      </w:r>
      <w:r>
        <w:rPr>
          <w:rFonts w:ascii="Times New Roman" w:eastAsia="Times New Roman" w:hAnsi="Times New Roman" w:cs="Times New Roman"/>
          <w:color w:val="000000"/>
          <w:sz w:val="24"/>
          <w:szCs w:val="24"/>
          <w:lang w:val="fr-CA" w:eastAsia="en-CA"/>
        </w:rPr>
        <w:t>e</w:t>
      </w:r>
      <w:r w:rsidRPr="00480EA1">
        <w:rPr>
          <w:rFonts w:ascii="Times New Roman" w:eastAsia="Times New Roman" w:hAnsi="Times New Roman" w:cs="Times New Roman"/>
          <w:color w:val="000000"/>
          <w:sz w:val="24"/>
          <w:szCs w:val="24"/>
          <w:lang w:val="fr-CA" w:eastAsia="en-CA"/>
        </w:rPr>
        <w:t xml:space="preserve"> et criminel</w:t>
      </w:r>
      <w:r>
        <w:rPr>
          <w:rFonts w:ascii="Times New Roman" w:eastAsia="Times New Roman" w:hAnsi="Times New Roman" w:cs="Times New Roman"/>
          <w:color w:val="000000"/>
          <w:sz w:val="24"/>
          <w:szCs w:val="24"/>
          <w:lang w:val="fr-CA" w:eastAsia="en-CA"/>
        </w:rPr>
        <w:t>le</w:t>
      </w:r>
      <w:r w:rsidRPr="00480EA1">
        <w:rPr>
          <w:rFonts w:ascii="Times New Roman" w:eastAsia="Times New Roman" w:hAnsi="Times New Roman" w:cs="Times New Roman"/>
          <w:color w:val="000000"/>
          <w:sz w:val="24"/>
          <w:szCs w:val="24"/>
          <w:lang w:val="fr-CA" w:eastAsia="en-CA"/>
        </w:rPr>
        <w:t xml:space="preserve">. Par ailleurs, l’agence collabore </w:t>
      </w:r>
      <w:r>
        <w:rPr>
          <w:rFonts w:ascii="Times New Roman" w:eastAsia="Times New Roman" w:hAnsi="Times New Roman" w:cs="Times New Roman"/>
          <w:color w:val="000000"/>
          <w:sz w:val="24"/>
          <w:szCs w:val="24"/>
          <w:lang w:val="fr-CA" w:eastAsia="en-CA"/>
        </w:rPr>
        <w:t>à un</w:t>
      </w:r>
      <w:r w:rsidRPr="00480EA1">
        <w:rPr>
          <w:rFonts w:ascii="Times New Roman" w:eastAsia="Times New Roman" w:hAnsi="Times New Roman" w:cs="Times New Roman"/>
          <w:color w:val="000000"/>
          <w:sz w:val="24"/>
          <w:szCs w:val="24"/>
          <w:lang w:val="fr-CA" w:eastAsia="en-CA"/>
        </w:rPr>
        <w:t xml:space="preserve"> niveau </w:t>
      </w:r>
      <w:proofErr w:type="spellStart"/>
      <w:r w:rsidRPr="00480EA1">
        <w:rPr>
          <w:rFonts w:ascii="Times New Roman" w:eastAsia="Times New Roman" w:hAnsi="Times New Roman" w:cs="Times New Roman"/>
          <w:color w:val="000000"/>
          <w:sz w:val="24"/>
          <w:szCs w:val="24"/>
          <w:lang w:val="fr-CA" w:eastAsia="en-CA"/>
        </w:rPr>
        <w:t>interorganisationnel</w:t>
      </w:r>
      <w:proofErr w:type="spellEnd"/>
      <w:r w:rsidRPr="00480EA1">
        <w:rPr>
          <w:rFonts w:ascii="Times New Roman" w:eastAsia="Times New Roman" w:hAnsi="Times New Roman" w:cs="Times New Roman"/>
          <w:color w:val="000000"/>
          <w:sz w:val="24"/>
          <w:szCs w:val="24"/>
          <w:lang w:val="fr-CA" w:eastAsia="en-CA"/>
        </w:rPr>
        <w:t xml:space="preserve"> pour accomplir ses divers mandats, notamment avec des bureaux d’inspecteurs généraux (comme à Montréal, Laval, Saint-Jérôme ou Longueuil) ou encore avec des agences provinciales qui surveillent les marchés publics ou les marchés financiers</w:t>
      </w:r>
      <w:r>
        <w:rPr>
          <w:rFonts w:ascii="Times New Roman" w:eastAsia="Times New Roman" w:hAnsi="Times New Roman" w:cs="Times New Roman"/>
          <w:color w:val="000000"/>
          <w:sz w:val="24"/>
          <w:szCs w:val="24"/>
          <w:lang w:val="fr-CA" w:eastAsia="en-CA"/>
        </w:rPr>
        <w:t>.</w:t>
      </w:r>
      <w:r w:rsidDel="00502CE5">
        <w:rPr>
          <w:rFonts w:ascii="Times New Roman" w:eastAsia="Times New Roman" w:hAnsi="Times New Roman" w:cs="Times New Roman"/>
          <w:color w:val="000000"/>
          <w:sz w:val="24"/>
          <w:szCs w:val="24"/>
          <w:lang w:val="fr-CA" w:eastAsia="en-CA"/>
        </w:rPr>
        <w:t xml:space="preserve"> </w:t>
      </w:r>
    </w:p>
    <w:p w14:paraId="31A80B60" w14:textId="372185F0" w:rsidR="00440A7E" w:rsidRDefault="00440A7E"/>
    <w:p w14:paraId="1C1C1F1B" w14:textId="171D77B8" w:rsidR="00B832CA" w:rsidRDefault="00B832CA">
      <w:r>
        <w:t>(…)</w:t>
      </w:r>
    </w:p>
    <w:sectPr w:rsidR="00B832C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E85C8C"/>
    <w:multiLevelType w:val="hybridMultilevel"/>
    <w:tmpl w:val="DC4CD198"/>
    <w:lvl w:ilvl="0" w:tplc="3102963A">
      <w:start w:val="1"/>
      <w:numFmt w:val="decimal"/>
      <w:lvlText w:val="%1)"/>
      <w:lvlJc w:val="left"/>
      <w:pPr>
        <w:ind w:left="720" w:hanging="360"/>
      </w:pPr>
      <w:rPr>
        <w:rFonts w:hint="default"/>
        <w:color w:val="4472C4" w:themeColor="accent1"/>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33A"/>
    <w:rsid w:val="001B3618"/>
    <w:rsid w:val="00440A7E"/>
    <w:rsid w:val="006A233A"/>
    <w:rsid w:val="00B832CA"/>
    <w:rsid w:val="00ED61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55B31"/>
  <w15:chartTrackingRefBased/>
  <w15:docId w15:val="{4D8AC425-98FF-485C-8A55-A60B9AD39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3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23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233A"/>
    <w:rPr>
      <w:rFonts w:ascii="Segoe UI" w:hAnsi="Segoe UI" w:cs="Segoe UI"/>
      <w:sz w:val="18"/>
      <w:szCs w:val="18"/>
    </w:rPr>
  </w:style>
  <w:style w:type="paragraph" w:styleId="ListParagraph">
    <w:name w:val="List Paragraph"/>
    <w:basedOn w:val="Normal"/>
    <w:uiPriority w:val="34"/>
    <w:qFormat/>
    <w:rsid w:val="006A23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dc:creator>
  <cp:keywords/>
  <dc:description/>
  <cp:lastModifiedBy>Nicholas</cp:lastModifiedBy>
  <cp:revision>3</cp:revision>
  <dcterms:created xsi:type="dcterms:W3CDTF">2020-07-16T19:37:00Z</dcterms:created>
  <dcterms:modified xsi:type="dcterms:W3CDTF">2020-07-16T19:45:00Z</dcterms:modified>
</cp:coreProperties>
</file>